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5B922">
      <w:pPr>
        <w:tabs>
          <w:tab w:val="left" w:pos="1890"/>
        </w:tabs>
        <w:jc w:val="center"/>
        <w:rPr>
          <w:rFonts w:hint="eastAsia"/>
          <w:b/>
          <w:bCs/>
          <w:sz w:val="30"/>
          <w:szCs w:val="30"/>
          <w:highlight w:val="none"/>
        </w:rPr>
      </w:pPr>
      <w:r>
        <w:rPr>
          <w:rFonts w:hint="eastAsia"/>
          <w:b/>
          <w:bCs/>
          <w:sz w:val="30"/>
          <w:szCs w:val="30"/>
          <w:highlight w:val="none"/>
        </w:rPr>
        <w:t>重要提示</w:t>
      </w:r>
    </w:p>
    <w:p w14:paraId="1AF9E9F1">
      <w:pPr>
        <w:tabs>
          <w:tab w:val="left" w:pos="1890"/>
        </w:tabs>
        <w:ind w:firstLine="420" w:firstLineChars="200"/>
        <w:jc w:val="left"/>
        <w:rPr>
          <w:rFonts w:hint="eastAsia" w:ascii="微软雅黑" w:hAnsi="微软雅黑" w:eastAsia="微软雅黑" w:cs="微软雅黑"/>
          <w:b/>
          <w:bCs w:val="0"/>
          <w:sz w:val="21"/>
          <w:szCs w:val="21"/>
          <w:highlight w:val="none"/>
        </w:rPr>
      </w:pPr>
      <w:r>
        <w:rPr>
          <w:rFonts w:hint="eastAsia" w:ascii="微软雅黑" w:hAnsi="微软雅黑" w:eastAsia="微软雅黑" w:cs="微软雅黑"/>
          <w:b/>
          <w:bCs w:val="0"/>
          <w:sz w:val="21"/>
          <w:szCs w:val="21"/>
          <w:highlight w:val="none"/>
        </w:rPr>
        <w:t>本页面为转保专用版产品页面，仅接受上年度持有完全符合转保规则同业个人商业医疗保险合同的被保险人投保，若您不符合转保规则，请于新保页面投保，否则将影响合同效力和理赔权益。</w:t>
      </w:r>
    </w:p>
    <w:p w14:paraId="080C270B">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等待期：</w:t>
      </w:r>
      <w:r>
        <w:rPr>
          <w:rFonts w:hint="eastAsia" w:ascii="微软雅黑" w:hAnsi="微软雅黑" w:eastAsia="微软雅黑" w:cs="微软雅黑"/>
          <w:bCs/>
          <w:szCs w:val="21"/>
          <w:highlight w:val="none"/>
        </w:rPr>
        <w:t>指自本合同生效日起计算的一段时间，具体天数由保险人和投保人在投保时约定并在本合同上载明。</w:t>
      </w:r>
      <w:r>
        <w:rPr>
          <w:rFonts w:hint="eastAsia" w:ascii="微软雅黑" w:hAnsi="微软雅黑" w:eastAsia="微软雅黑" w:cs="微软雅黑"/>
          <w:b/>
          <w:bCs/>
          <w:szCs w:val="21"/>
          <w:highlight w:val="none"/>
        </w:rPr>
        <w:t>在等待期内发生保险事故，保</w:t>
      </w:r>
      <w:bookmarkStart w:id="2" w:name="_GoBack"/>
      <w:bookmarkEnd w:id="2"/>
      <w:r>
        <w:rPr>
          <w:rFonts w:hint="eastAsia" w:ascii="微软雅黑" w:hAnsi="微软雅黑" w:eastAsia="微软雅黑" w:cs="微软雅黑"/>
          <w:b/>
          <w:bCs/>
          <w:szCs w:val="21"/>
          <w:highlight w:val="none"/>
        </w:rPr>
        <w:t>险人不承担给付保险金的责任。</w:t>
      </w:r>
      <w:bookmarkStart w:id="0" w:name="_Hlk105091185"/>
      <w:r>
        <w:rPr>
          <w:rFonts w:hint="eastAsia" w:ascii="微软雅黑" w:hAnsi="微软雅黑" w:eastAsia="微软雅黑" w:cs="微软雅黑"/>
          <w:b/>
          <w:bCs/>
          <w:szCs w:val="21"/>
          <w:highlight w:val="none"/>
        </w:rPr>
        <w:t>本产品等待期30天，</w:t>
      </w:r>
      <w:bookmarkEnd w:id="0"/>
      <w:r>
        <w:rPr>
          <w:rFonts w:hint="eastAsia" w:ascii="微软雅黑" w:hAnsi="微软雅黑" w:eastAsia="微软雅黑" w:cs="微软雅黑"/>
          <w:b/>
          <w:bCs/>
          <w:szCs w:val="21"/>
          <w:highlight w:val="none"/>
        </w:rPr>
        <w:t>如投保尊享药省保加油包的，互联网药品费用医疗责任的等待期为7天；上一张保单期满后指定期限内重新投保、因遭受意外伤害导致的医疗和重大疾病责任（如购买的尊享重疾关爱加油包的）无等待期。如承保保单为分期交付保费，若下一年度保单生效时未交清上一年度保单的保险费，则下一年度保单的等待期重新计算。</w:t>
      </w:r>
    </w:p>
    <w:p w14:paraId="554294BB">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对于以下情形，本产品不予赔付：</w:t>
      </w:r>
    </w:p>
    <w:p w14:paraId="7650AB90">
      <w:pPr>
        <w:pStyle w:val="12"/>
        <w:numPr>
          <w:ilvl w:val="0"/>
          <w:numId w:val="2"/>
        </w:numPr>
        <w:tabs>
          <w:tab w:val="left" w:pos="851"/>
        </w:tabs>
        <w:adjustRightInd w:val="0"/>
        <w:snapToGrid w:val="0"/>
        <w:ind w:left="850" w:leftChars="203" w:hanging="424"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既往症：被保险人在初次投保或非保单期满后指定期限内重新投保前所患既往症，及保险合同中特别约定的除外疾病；其中，既往症指在保单生效之前被保险人已患有的且已知晓的有关疾病或症状。</w:t>
      </w:r>
    </w:p>
    <w:p w14:paraId="0FD2A728">
      <w:pPr>
        <w:pStyle w:val="12"/>
        <w:numPr>
          <w:ilvl w:val="0"/>
          <w:numId w:val="2"/>
        </w:numPr>
        <w:tabs>
          <w:tab w:val="left" w:pos="851"/>
        </w:tabs>
        <w:adjustRightInd w:val="0"/>
        <w:snapToGrid w:val="0"/>
        <w:ind w:left="850" w:leftChars="203" w:hanging="424"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在等待期内发生保险事故，等待期内确诊的疾病。</w:t>
      </w:r>
    </w:p>
    <w:p w14:paraId="1F63561E">
      <w:pPr>
        <w:pStyle w:val="13"/>
        <w:numPr>
          <w:ilvl w:val="0"/>
          <w:numId w:val="2"/>
        </w:numPr>
        <w:tabs>
          <w:tab w:val="left" w:pos="851"/>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责任免除：条款中责任免除约定的内容。</w:t>
      </w:r>
    </w:p>
    <w:p w14:paraId="40EB734C">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szCs w:val="21"/>
          <w:highlight w:val="none"/>
        </w:rPr>
      </w:pPr>
      <w:r>
        <w:rPr>
          <w:rFonts w:hint="eastAsia" w:ascii="微软雅黑" w:hAnsi="微软雅黑" w:eastAsia="微软雅黑" w:cs="微软雅黑"/>
          <w:b/>
          <w:bCs/>
          <w:szCs w:val="21"/>
          <w:highlight w:val="none"/>
        </w:rPr>
        <w:t>投保告知：</w:t>
      </w:r>
      <w:r>
        <w:rPr>
          <w:rFonts w:ascii="微软雅黑" w:hAnsi="微软雅黑" w:eastAsia="微软雅黑" w:cs="微软雅黑"/>
          <w:szCs w:val="21"/>
          <w:highlight w:val="none"/>
        </w:rPr>
        <w:t>投保时,投保人已就该产品的保障内容以及保险金额等向被保险人/被保险人监护人进行了明确说明,并征得其同意。</w:t>
      </w:r>
    </w:p>
    <w:p w14:paraId="23B2FF81">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医院就诊范围：</w:t>
      </w:r>
    </w:p>
    <w:p w14:paraId="2500C9F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一般医疗及外购药械费用医疗责任、</w:t>
      </w:r>
      <w:r>
        <w:rPr>
          <w:rFonts w:hint="eastAsia" w:ascii="微软雅黑" w:hAnsi="微软雅黑" w:eastAsia="微软雅黑"/>
          <w:b/>
          <w:bCs/>
          <w:szCs w:val="21"/>
          <w:highlight w:val="none"/>
        </w:rPr>
        <w:t>一般门急诊医疗及外购药械费用医疗</w:t>
      </w:r>
      <w:r>
        <w:rPr>
          <w:rFonts w:hint="eastAsia" w:ascii="微软雅黑" w:hAnsi="微软雅黑" w:eastAsia="微软雅黑" w:cs="微软雅黑"/>
          <w:b/>
          <w:color w:val="000000"/>
          <w:szCs w:val="21"/>
          <w:highlight w:val="none"/>
        </w:rPr>
        <w:t>责任、</w:t>
      </w:r>
      <w:r>
        <w:rPr>
          <w:rFonts w:hint="eastAsia" w:ascii="微软雅黑" w:hAnsi="微软雅黑" w:eastAsia="微软雅黑"/>
          <w:b/>
          <w:bCs/>
          <w:szCs w:val="21"/>
          <w:highlight w:val="none"/>
        </w:rPr>
        <w:t>重大疾病医疗及外购药械费用医疗</w:t>
      </w:r>
      <w:r>
        <w:rPr>
          <w:rFonts w:hint="eastAsia" w:ascii="微软雅黑" w:hAnsi="微软雅黑" w:eastAsia="微软雅黑" w:cs="微软雅黑"/>
          <w:b/>
          <w:color w:val="000000"/>
          <w:szCs w:val="21"/>
          <w:highlight w:val="none"/>
        </w:rPr>
        <w:t>责任、重大疾病住院护工费用责任、</w:t>
      </w:r>
      <w:r>
        <w:rPr>
          <w:rFonts w:hint="eastAsia" w:ascii="微软雅黑" w:hAnsi="微软雅黑" w:eastAsia="微软雅黑"/>
          <w:b/>
          <w:bCs/>
          <w:szCs w:val="21"/>
          <w:highlight w:val="none"/>
        </w:rPr>
        <w:t>重大疾病责任（</w:t>
      </w:r>
      <w:r>
        <w:rPr>
          <w:rFonts w:hint="eastAsia" w:ascii="微软雅黑" w:hAnsi="微软雅黑" w:eastAsia="微软雅黑" w:cs="微软雅黑"/>
          <w:b/>
          <w:color w:val="000000"/>
          <w:szCs w:val="21"/>
          <w:highlight w:val="none"/>
        </w:rPr>
        <w:t>如购买的尊享重疾关爱加油包</w:t>
      </w:r>
      <w:r>
        <w:rPr>
          <w:rFonts w:hint="eastAsia" w:ascii="微软雅黑" w:hAnsi="微软雅黑" w:eastAsia="微软雅黑"/>
          <w:b/>
          <w:bCs/>
          <w:szCs w:val="21"/>
          <w:highlight w:val="none"/>
        </w:rPr>
        <w:t>）、重大疾病扩展特需医疗责任（</w:t>
      </w:r>
      <w:r>
        <w:rPr>
          <w:rFonts w:hint="eastAsia" w:ascii="微软雅黑" w:hAnsi="微软雅黑" w:eastAsia="微软雅黑" w:cs="微软雅黑"/>
          <w:b/>
          <w:color w:val="000000"/>
          <w:szCs w:val="21"/>
          <w:highlight w:val="none"/>
        </w:rPr>
        <w:t>如购买尊享重大疾病扩展特需医疗加油包</w:t>
      </w:r>
      <w:r>
        <w:rPr>
          <w:rFonts w:hint="eastAsia" w:ascii="微软雅黑" w:hAnsi="微软雅黑" w:eastAsia="微软雅黑"/>
          <w:b/>
          <w:bCs/>
          <w:szCs w:val="21"/>
          <w:highlight w:val="none"/>
        </w:rPr>
        <w:t>）、</w:t>
      </w:r>
      <w:r>
        <w:rPr>
          <w:rFonts w:hint="eastAsia" w:ascii="微软雅黑" w:hAnsi="微软雅黑" w:eastAsia="微软雅黑" w:cs="微软雅黑"/>
          <w:b/>
          <w:bCs/>
          <w:color w:val="000000"/>
          <w:szCs w:val="21"/>
          <w:highlight w:val="none"/>
        </w:rPr>
        <w:t>住院医疗费用补偿责任（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尊享住院医疗费用补偿加油包</w:t>
      </w:r>
      <w:r>
        <w:rPr>
          <w:rFonts w:hint="eastAsia" w:ascii="微软雅黑" w:hAnsi="微软雅黑" w:eastAsia="微软雅黑" w:cs="微软雅黑"/>
          <w:b/>
          <w:bCs/>
          <w:color w:val="000000"/>
          <w:szCs w:val="21"/>
          <w:highlight w:val="none"/>
        </w:rPr>
        <w:t>）、一般住院津贴责任及ICU重症监护病房住院津贴责任（</w:t>
      </w:r>
      <w:r>
        <w:rPr>
          <w:rFonts w:hint="eastAsia" w:ascii="微软雅黑" w:hAnsi="微软雅黑" w:eastAsia="微软雅黑" w:cs="微软雅黑"/>
          <w:b/>
          <w:color w:val="000000"/>
          <w:szCs w:val="21"/>
          <w:highlight w:val="none"/>
        </w:rPr>
        <w:t>如购买尊享</w:t>
      </w:r>
      <w:r>
        <w:rPr>
          <w:rFonts w:hint="eastAsia" w:ascii="微软雅黑" w:hAnsi="微软雅黑" w:eastAsia="微软雅黑"/>
          <w:b/>
          <w:bCs/>
          <w:szCs w:val="21"/>
          <w:highlight w:val="none"/>
        </w:rPr>
        <w:t>住院津贴加油包</w:t>
      </w:r>
      <w:r>
        <w:rPr>
          <w:rFonts w:hint="eastAsia" w:ascii="微软雅黑" w:hAnsi="微软雅黑" w:eastAsia="微软雅黑" w:cs="微软雅黑"/>
          <w:b/>
          <w:bCs/>
          <w:color w:val="000000"/>
          <w:szCs w:val="21"/>
          <w:highlight w:val="none"/>
        </w:rPr>
        <w:t>）、</w:t>
      </w:r>
      <w:r>
        <w:rPr>
          <w:rFonts w:hint="eastAsia" w:ascii="微软雅黑" w:hAnsi="微软雅黑" w:eastAsia="微软雅黑"/>
          <w:b/>
          <w:bCs/>
          <w:szCs w:val="21"/>
          <w:highlight w:val="none"/>
        </w:rPr>
        <w:t>门急诊医疗责任（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尊享门急诊医疗加油包）</w:t>
      </w:r>
      <w:r>
        <w:rPr>
          <w:rFonts w:hint="eastAsia" w:ascii="微软雅黑" w:hAnsi="微软雅黑" w:eastAsia="微软雅黑" w:cs="微软雅黑"/>
          <w:b/>
          <w:color w:val="000000"/>
          <w:szCs w:val="21"/>
          <w:highlight w:val="none"/>
        </w:rPr>
        <w:t>限中华人民共和国卫生部门审核认定的二级及二级以上的公立医院及本保单约定的指定民营医疗机构普通部（其中，外购药械费用扩展众安（海南）互联网医院）；</w:t>
      </w:r>
    </w:p>
    <w:p w14:paraId="672B253B">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lang w:val="en-US" w:eastAsia="zh-CN"/>
        </w:rPr>
        <w:t>特定疾病康复住院费用医疗责任限</w:t>
      </w:r>
      <w:r>
        <w:rPr>
          <w:rFonts w:hint="eastAsia" w:ascii="微软雅黑" w:hAnsi="微软雅黑" w:eastAsia="微软雅黑" w:cs="微软雅黑"/>
          <w:b/>
          <w:color w:val="000000"/>
          <w:szCs w:val="21"/>
          <w:highlight w:val="none"/>
        </w:rPr>
        <w:t>中华人民共和国卫生部门审核认定的二级及二级以上的公立医院</w:t>
      </w:r>
      <w:r>
        <w:rPr>
          <w:rFonts w:hint="eastAsia" w:ascii="微软雅黑" w:hAnsi="微软雅黑" w:eastAsia="微软雅黑" w:cs="微软雅黑"/>
          <w:b/>
          <w:color w:val="000000"/>
          <w:szCs w:val="21"/>
          <w:highlight w:val="none"/>
          <w:lang w:val="en-US" w:eastAsia="zh-CN"/>
        </w:rPr>
        <w:t>普通部</w:t>
      </w:r>
      <w:r>
        <w:rPr>
          <w:rFonts w:hint="eastAsia" w:ascii="微软雅黑" w:hAnsi="微软雅黑" w:eastAsia="微软雅黑" w:cs="微软雅黑"/>
          <w:b/>
          <w:color w:val="000000"/>
          <w:szCs w:val="21"/>
          <w:highlight w:val="none"/>
          <w:lang w:val="en-US" w:eastAsia="zh-CN"/>
        </w:rPr>
        <w:t>、本保单约定的指定民营医疗机构普通部及</w:t>
      </w:r>
      <w:r>
        <w:rPr>
          <w:rFonts w:hint="eastAsia" w:ascii="微软雅黑" w:hAnsi="微软雅黑" w:eastAsia="微软雅黑" w:cs="微软雅黑"/>
          <w:b/>
          <w:color w:val="000000"/>
          <w:szCs w:val="21"/>
          <w:highlight w:val="none"/>
          <w:lang w:val="en-US" w:eastAsia="zh-CN"/>
        </w:rPr>
        <w:t>本保单约定的指定康复医疗机构普通部；</w:t>
      </w:r>
    </w:p>
    <w:p w14:paraId="2A51A562">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恶性肿瘤先进疗法医疗责任项下恶性肿瘤质子重离子医疗费用就诊医院限经中华人民共和国卫生部门审核认定的、可开展质子治疗或重离子治疗的医疗机构（限中国大陆境内，不包括境外</w:t>
      </w:r>
      <w:r>
        <w:rPr>
          <w:rFonts w:hint="eastAsia" w:ascii="微软雅黑" w:hAnsi="微软雅黑" w:eastAsia="微软雅黑"/>
          <w:b/>
          <w:bCs/>
          <w:szCs w:val="21"/>
          <w:highlight w:val="none"/>
        </w:rPr>
        <w:t>及香港特别行政区、澳门特别行政区、台湾省</w:t>
      </w:r>
      <w:r>
        <w:rPr>
          <w:rFonts w:hint="eastAsia" w:ascii="微软雅黑" w:hAnsi="微软雅黑" w:eastAsia="微软雅黑" w:cs="微软雅黑"/>
          <w:b/>
          <w:color w:val="000000"/>
          <w:szCs w:val="21"/>
          <w:highlight w:val="none"/>
        </w:rPr>
        <w:t>）；</w:t>
      </w:r>
    </w:p>
    <w:p w14:paraId="590DEFD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恶性肿瘤先进疗法医疗责任项下恶性肿瘤硼中子俘获治疗医疗费用就诊医院限日本大阪关西BNCT中心、日本国立癌症研究中心、日本江户川病院、日本南东北BNCT中心；</w:t>
      </w:r>
    </w:p>
    <w:p w14:paraId="6EEBA755">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恶性肿瘤先进疗法医疗责任项下恶性肿瘤光免疫疗法医疗费用就诊医院限日本国立癌症研究中心东医院、日本东京医科大学病院；</w:t>
      </w:r>
    </w:p>
    <w:p w14:paraId="19427C77">
      <w:pPr>
        <w:pStyle w:val="14"/>
        <w:numPr>
          <w:ilvl w:val="0"/>
          <w:numId w:val="3"/>
        </w:numPr>
        <w:adjustRightInd w:val="0"/>
        <w:snapToGrid w:val="0"/>
        <w:ind w:firstLineChars="0"/>
        <w:rPr>
          <w:rFonts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特定药品费用责任中特定进口药品费用就诊医院限</w:t>
      </w:r>
      <w:bookmarkStart w:id="1" w:name="_Hlk150446402"/>
      <w:r>
        <w:rPr>
          <w:rFonts w:hint="eastAsia" w:ascii="微软雅黑" w:hAnsi="微软雅黑" w:eastAsia="微软雅黑" w:cs="微软雅黑"/>
          <w:b/>
          <w:color w:val="000000"/>
          <w:szCs w:val="21"/>
          <w:highlight w:val="none"/>
        </w:rPr>
        <w:t>海南博鳌超级医院、博鳌恒大国际医院</w:t>
      </w:r>
      <w:bookmarkEnd w:id="1"/>
      <w:r>
        <w:rPr>
          <w:rFonts w:hint="eastAsia" w:ascii="微软雅黑" w:hAnsi="微软雅黑" w:eastAsia="微软雅黑" w:cs="微软雅黑"/>
          <w:b/>
          <w:color w:val="000000"/>
          <w:szCs w:val="21"/>
          <w:highlight w:val="none"/>
        </w:rPr>
        <w:t>；</w:t>
      </w:r>
    </w:p>
    <w:p w14:paraId="4F892ABB">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如购买尊享重大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507472F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尊享药省保加油包的，</w:t>
      </w:r>
      <w:r>
        <w:rPr>
          <w:rFonts w:hint="eastAsia" w:ascii="微软雅黑" w:hAnsi="微软雅黑" w:eastAsia="微软雅黑" w:cs="微软雅黑"/>
          <w:b/>
          <w:bCs/>
          <w:color w:val="000000"/>
          <w:szCs w:val="21"/>
          <w:highlight w:val="none"/>
        </w:rPr>
        <w:t>互联网药品费用医疗责任限</w:t>
      </w:r>
      <w:r>
        <w:rPr>
          <w:rFonts w:hint="eastAsia" w:ascii="微软雅黑" w:hAnsi="微软雅黑" w:eastAsia="微软雅黑" w:cs="微软雅黑"/>
          <w:b/>
          <w:bCs/>
          <w:szCs w:val="21"/>
          <w:highlight w:val="none"/>
        </w:rPr>
        <w:t>指定买药平台合作的互联网药店。</w:t>
      </w:r>
    </w:p>
    <w:p w14:paraId="1E6C39F7">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犹豫期说明：</w:t>
      </w:r>
    </w:p>
    <w:p w14:paraId="38F87B58">
      <w:pPr>
        <w:pStyle w:val="15"/>
        <w:tabs>
          <w:tab w:val="left" w:pos="425"/>
          <w:tab w:val="left" w:pos="840"/>
        </w:tabs>
        <w:adjustRightInd w:val="0"/>
        <w:snapToGrid w:val="0"/>
        <w:ind w:left="825" w:firstLine="0" w:firstLineChars="0"/>
        <w:rPr>
          <w:rFonts w:hint="eastAsia" w:ascii="微软雅黑" w:hAnsi="微软雅黑" w:eastAsia="微软雅黑" w:cs="微软雅黑"/>
          <w:color w:val="000000"/>
          <w:szCs w:val="21"/>
          <w:highlight w:val="none"/>
        </w:rPr>
      </w:pPr>
      <w:r>
        <w:rPr>
          <w:rFonts w:hint="eastAsia" w:ascii="微软雅黑" w:hAnsi="微软雅黑" w:eastAsia="微软雅黑" w:cs="微软雅黑"/>
          <w:b/>
          <w:bCs/>
          <w:color w:val="000000"/>
          <w:szCs w:val="21"/>
          <w:highlight w:val="none"/>
        </w:rPr>
        <w:t>本产品生效之日零时起</w:t>
      </w:r>
      <w:r>
        <w:rPr>
          <w:rFonts w:hint="eastAsia" w:ascii="微软雅黑" w:hAnsi="微软雅黑" w:eastAsia="微软雅黑" w:cs="微软雅黑"/>
          <w:b/>
          <w:bCs/>
          <w:color w:val="000000"/>
          <w:szCs w:val="21"/>
          <w:highlight w:val="none"/>
          <w:lang w:val="en-US" w:eastAsia="zh-CN"/>
        </w:rPr>
        <w:t>15</w:t>
      </w:r>
      <w:r>
        <w:rPr>
          <w:rFonts w:hint="eastAsia" w:ascii="微软雅黑" w:hAnsi="微软雅黑" w:eastAsia="微软雅黑" w:cs="微软雅黑"/>
          <w:b/>
          <w:bCs/>
          <w:color w:val="000000"/>
          <w:szCs w:val="21"/>
          <w:highlight w:val="none"/>
        </w:rPr>
        <w:t>日（含第</w:t>
      </w:r>
      <w:r>
        <w:rPr>
          <w:rFonts w:hint="eastAsia" w:ascii="微软雅黑" w:hAnsi="微软雅黑" w:eastAsia="微软雅黑" w:cs="微软雅黑"/>
          <w:b/>
          <w:bCs/>
          <w:color w:val="000000"/>
          <w:szCs w:val="21"/>
          <w:highlight w:val="none"/>
          <w:lang w:val="en-US" w:eastAsia="zh-CN"/>
        </w:rPr>
        <w:t>15</w:t>
      </w:r>
      <w:r>
        <w:rPr>
          <w:rFonts w:hint="eastAsia" w:ascii="微软雅黑" w:hAnsi="微软雅黑" w:eastAsia="微软雅黑" w:cs="微软雅黑"/>
          <w:b/>
          <w:bCs/>
          <w:color w:val="000000"/>
          <w:szCs w:val="21"/>
          <w:highlight w:val="none"/>
        </w:rPr>
        <w:t>日）为犹豫期。在此期间请您认真审视保险合同，如果您认为保险合同与投保人的需求不相符，您可以在此期间提出解除保险合同，保险人将无息退还投保人所支付的全部保险费。自保险人收到投保人解除合同的书面申请或双方认可的其他形式起，保险合同即被解除，合同解除前发生的保险事故保险人不承担保险责任。</w:t>
      </w:r>
      <w:r>
        <w:rPr>
          <w:rFonts w:hint="eastAsia" w:ascii="微软雅黑" w:hAnsi="微软雅黑" w:eastAsia="微软雅黑" w:cs="微软雅黑"/>
          <w:b/>
          <w:color w:val="000000"/>
          <w:szCs w:val="21"/>
          <w:highlight w:val="none"/>
        </w:rPr>
        <w:t>保险合同生效后超过</w:t>
      </w:r>
      <w:r>
        <w:rPr>
          <w:rFonts w:hint="eastAsia" w:ascii="微软雅黑" w:hAnsi="微软雅黑" w:eastAsia="微软雅黑" w:cs="微软雅黑"/>
          <w:b/>
          <w:color w:val="000000"/>
          <w:szCs w:val="21"/>
          <w:highlight w:val="none"/>
          <w:lang w:val="en-US" w:eastAsia="zh-CN"/>
        </w:rPr>
        <w:t>15</w:t>
      </w:r>
      <w:r>
        <w:rPr>
          <w:rFonts w:hint="eastAsia" w:ascii="微软雅黑" w:hAnsi="微软雅黑" w:eastAsia="微软雅黑" w:cs="微软雅黑"/>
          <w:b/>
          <w:color w:val="000000"/>
          <w:szCs w:val="21"/>
          <w:highlight w:val="none"/>
        </w:rPr>
        <w:t>日</w:t>
      </w:r>
      <w:r>
        <w:rPr>
          <w:rFonts w:ascii="微软雅黑" w:hAnsi="微软雅黑" w:eastAsia="微软雅黑" w:cs="微软雅黑"/>
          <w:b/>
          <w:color w:val="000000"/>
          <w:szCs w:val="21"/>
          <w:highlight w:val="none"/>
        </w:rPr>
        <w:t>，您要求解除本合同，</w:t>
      </w:r>
      <w:r>
        <w:rPr>
          <w:rFonts w:hint="eastAsia" w:ascii="微软雅黑" w:hAnsi="微软雅黑" w:eastAsia="微软雅黑" w:cs="微软雅黑"/>
          <w:b/>
          <w:color w:val="000000"/>
          <w:szCs w:val="21"/>
          <w:highlight w:val="none"/>
        </w:rPr>
        <w:t>自众安保险接到保险合同解除申请书之日次日零时起，保险合同的效力终止</w:t>
      </w:r>
      <w:r>
        <w:rPr>
          <w:rFonts w:hint="eastAsia" w:ascii="微软雅黑" w:hAnsi="微软雅黑" w:eastAsia="微软雅黑" w:cs="微软雅黑"/>
          <w:color w:val="000000"/>
          <w:szCs w:val="21"/>
          <w:highlight w:val="none"/>
        </w:rPr>
        <w:t>，众安保险收到完整申请资料之日起</w:t>
      </w:r>
      <w:r>
        <w:rPr>
          <w:rFonts w:ascii="微软雅黑" w:hAnsi="微软雅黑" w:eastAsia="微软雅黑" w:cs="微软雅黑"/>
          <w:color w:val="000000"/>
          <w:szCs w:val="21"/>
          <w:highlight w:val="none"/>
        </w:rPr>
        <w:t>30日内退还未满期</w:t>
      </w:r>
      <w:r>
        <w:rPr>
          <w:rFonts w:hint="eastAsia" w:ascii="微软雅黑" w:hAnsi="微软雅黑" w:eastAsia="微软雅黑" w:cs="微软雅黑"/>
          <w:color w:val="000000"/>
          <w:szCs w:val="21"/>
          <w:highlight w:val="none"/>
        </w:rPr>
        <w:t>净保险费。</w:t>
      </w:r>
      <w:r>
        <w:rPr>
          <w:rFonts w:hint="eastAsia" w:ascii="微软雅黑" w:hAnsi="微软雅黑" w:eastAsia="微软雅黑" w:cs="微软雅黑"/>
          <w:b/>
          <w:color w:val="000000"/>
          <w:szCs w:val="21"/>
          <w:highlight w:val="none"/>
        </w:rPr>
        <w:t>如投保人在本合同成立时选择交清保险费，未满期净保险费=保险费×[1-(保险单已经过天数/保险期间天数)]；如投保人在本合同成立时选择保费分期交付方式，未满期净保险费 = 本合同的当期保险费×</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1-</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当期实际经过天数/当期实际天数)</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；经过天数不足一天的按一天计算，如本合同已发生保险金给付，未满期净保险费为零。</w:t>
      </w:r>
      <w:r>
        <w:rPr>
          <w:rFonts w:hint="eastAsia" w:ascii="微软雅黑" w:hAnsi="微软雅黑" w:eastAsia="微软雅黑" w:cs="微软雅黑"/>
          <w:b/>
          <w:bCs/>
          <w:color w:val="000000"/>
          <w:szCs w:val="21"/>
          <w:highlight w:val="none"/>
        </w:rPr>
        <w:t>投保人通过保险人同意或认可的网站等互联网渠道提出对本合同进行解除保险合同，视为投保人书面申请。</w:t>
      </w:r>
    </w:p>
    <w:p w14:paraId="2FA0A4CE">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保费支付说明：</w:t>
      </w:r>
    </w:p>
    <w:p w14:paraId="40DF3167">
      <w:pPr>
        <w:pStyle w:val="11"/>
        <w:tabs>
          <w:tab w:val="left" w:pos="420"/>
          <w:tab w:val="left" w:pos="425"/>
        </w:tabs>
        <w:adjustRightInd w:val="0"/>
        <w:snapToGrid w:val="0"/>
        <w:ind w:left="844" w:firstLine="0" w:firstLineChars="0"/>
        <w:rPr>
          <w:rFonts w:hint="eastAsia" w:ascii="微软雅黑" w:hAnsi="微软雅黑" w:eastAsia="微软雅黑" w:cs="微软雅黑"/>
          <w:b/>
          <w:bCs/>
          <w:color w:val="000000"/>
          <w:szCs w:val="21"/>
          <w:highlight w:val="none"/>
        </w:rPr>
      </w:pPr>
      <w:r>
        <w:rPr>
          <w:rFonts w:hint="eastAsia" w:ascii="微软雅黑" w:hAnsi="微软雅黑" w:eastAsia="微软雅黑" w:cs="微软雅黑"/>
          <w:color w:val="000000"/>
          <w:szCs w:val="21"/>
          <w:highlight w:val="none"/>
        </w:rPr>
        <w:t>本产品可选择一次性支付全年保费，也可以选择分期支付保费。若选择一次性支付全年保费，</w:t>
      </w:r>
      <w:r>
        <w:rPr>
          <w:rFonts w:hint="eastAsia" w:ascii="微软雅黑" w:hAnsi="微软雅黑" w:eastAsia="微软雅黑" w:cs="微软雅黑"/>
          <w:b/>
          <w:color w:val="000000"/>
          <w:szCs w:val="21"/>
          <w:highlight w:val="none"/>
        </w:rPr>
        <w:t>保险费交清前，本合同不生效；</w:t>
      </w:r>
      <w:r>
        <w:rPr>
          <w:rFonts w:hint="eastAsia" w:ascii="微软雅黑" w:hAnsi="微软雅黑" w:eastAsia="微软雅黑" w:cs="微软雅黑"/>
          <w:color w:val="000000"/>
          <w:szCs w:val="21"/>
          <w:highlight w:val="none"/>
        </w:rPr>
        <w:t>若选择分期支付保费的，保费分期</w:t>
      </w:r>
      <w:r>
        <w:rPr>
          <w:rFonts w:ascii="微软雅黑" w:hAnsi="微软雅黑" w:eastAsia="微软雅黑" w:cs="微软雅黑"/>
          <w:color w:val="000000"/>
          <w:szCs w:val="21"/>
          <w:highlight w:val="none"/>
        </w:rPr>
        <w:t>交</w:t>
      </w:r>
      <w:r>
        <w:rPr>
          <w:rFonts w:hint="eastAsia" w:ascii="微软雅黑" w:hAnsi="微软雅黑" w:eastAsia="微软雅黑" w:cs="微软雅黑"/>
          <w:color w:val="000000"/>
          <w:szCs w:val="21"/>
          <w:highlight w:val="none"/>
        </w:rPr>
        <w:t>付的周期为</w:t>
      </w:r>
      <w:r>
        <w:rPr>
          <w:rFonts w:ascii="微软雅黑" w:hAnsi="微软雅黑" w:eastAsia="微软雅黑" w:cs="微软雅黑"/>
          <w:color w:val="000000"/>
          <w:szCs w:val="21"/>
          <w:highlight w:val="none"/>
        </w:rPr>
        <w:t>1个月（共计12期），</w:t>
      </w:r>
      <w:r>
        <w:rPr>
          <w:rFonts w:hint="eastAsia" w:ascii="微软雅黑" w:hAnsi="微软雅黑" w:eastAsia="微软雅黑" w:cs="微软雅黑"/>
          <w:b/>
          <w:color w:val="000000"/>
          <w:szCs w:val="21"/>
          <w:highlight w:val="none"/>
        </w:rPr>
        <w:t>如未</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付首期保费，则保险合同不成立，保险人不承担保险责任；本合同的付款宽限期为30天，如投保人未按照保险合同约定的付款时间足额</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付当期保费，且在保险合同约定的付款宽限期内仍未足额补</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当期保费的，则保险合同的保险期间在上一</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费周期结束时终止。对于保险期间终止后发生的保险事故，保险人不承担保险责任。（详见相关条款描述）</w:t>
      </w:r>
    </w:p>
    <w:p w14:paraId="4D770998">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补偿原则和赔付标准 ：</w:t>
      </w:r>
    </w:p>
    <w:p w14:paraId="6AB7E981">
      <w:pPr>
        <w:pStyle w:val="11"/>
        <w:numPr>
          <w:ilvl w:val="0"/>
          <w:numId w:val="4"/>
        </w:numPr>
        <w:tabs>
          <w:tab w:val="left" w:pos="420"/>
          <w:tab w:val="left" w:pos="425"/>
        </w:tabs>
        <w:adjustRightInd w:val="0"/>
        <w:snapToGrid w:val="0"/>
        <w:ind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本合同适用医疗费用补偿原则。若被保险人已从其他途径（包括基本医疗保险、公费医疗、工作单位、保险人在内的任何商业保险机构以及依法承担侵权损害赔偿责任的第三人等）获得医疗费用补偿，则保险人仅对被保险人实际发生的医疗费用扣除其所获医疗费用补偿后的余额按照本合同的约定进行赔付。</w:t>
      </w:r>
    </w:p>
    <w:p w14:paraId="2C85D92C">
      <w:pPr>
        <w:pStyle w:val="11"/>
        <w:numPr>
          <w:ilvl w:val="0"/>
          <w:numId w:val="4"/>
        </w:numPr>
        <w:tabs>
          <w:tab w:val="left" w:pos="420"/>
          <w:tab w:val="left" w:pos="425"/>
        </w:tabs>
        <w:adjustRightInd w:val="0"/>
        <w:snapToGrid w:val="0"/>
        <w:ind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szCs w:val="21"/>
          <w:highlight w:val="none"/>
        </w:rPr>
        <w:t>若被保险人以参加基本医疗保险或公费医疗身份投保，但本次治疗费用未获得基本医疗保险或公费医疗补偿的，则保险人根据本合同单独约定的给付比例进行赔付。</w:t>
      </w:r>
    </w:p>
    <w:p w14:paraId="1FFC8CCA">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color w:val="000000" w:themeColor="text1"/>
          <w:szCs w:val="21"/>
          <w:highlight w:val="none"/>
          <w14:textFill>
            <w14:solidFill>
              <w14:schemeClr w14:val="tx1"/>
            </w14:solidFill>
          </w14:textFill>
        </w:rPr>
      </w:pPr>
      <w:commentRangeStart w:id="0"/>
      <w:r>
        <w:rPr>
          <w:rFonts w:hint="eastAsia" w:ascii="微软雅黑" w:hAnsi="微软雅黑" w:eastAsia="微软雅黑" w:cs="微软雅黑"/>
          <w:bCs/>
          <w:color w:val="000000" w:themeColor="text1"/>
          <w:szCs w:val="21"/>
          <w:highlight w:val="none"/>
          <w14:textFill>
            <w14:solidFill>
              <w14:schemeClr w14:val="tx1"/>
            </w14:solidFill>
          </w14:textFill>
        </w:rPr>
        <w:t>家庭单用户优享价格规则说明：本保险产品针对首次投保或上一张保单期满后指定期限内重新投保时多人投保有家庭单用户优享价格：</w:t>
      </w:r>
      <w:commentRangeEnd w:id="0"/>
      <w:r>
        <w:rPr>
          <w:highlight w:val="none"/>
        </w:rPr>
        <w:commentReference w:id="0"/>
      </w:r>
    </w:p>
    <w:p w14:paraId="5AC0F255">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当前订单每人价格优享10%；如累计为4人，当前订单每人价格优享15%，如累计为5人及以上，当前订单每人价格优享20%；</w:t>
      </w:r>
    </w:p>
    <w:p w14:paraId="371D7C13">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尊享医疗险系列产品包括：</w:t>
      </w:r>
      <w:r>
        <w:rPr>
          <w:rFonts w:hint="eastAsia" w:ascii="微软雅黑" w:hAnsi="微软雅黑" w:eastAsia="微软雅黑" w:cs="微软雅黑"/>
          <w:bCs/>
          <w:color w:val="000000" w:themeColor="text1"/>
          <w:szCs w:val="21"/>
          <w:highlight w:val="none"/>
          <w14:textFill>
            <w14:solidFill>
              <w14:schemeClr w14:val="tx1"/>
            </w14:solidFill>
          </w14:textFill>
        </w:rPr>
        <w:t>尊享e生·百万医疗保险2026版</w:t>
      </w:r>
      <w:r>
        <w:rPr>
          <w:rFonts w:hint="eastAsia" w:ascii="微软雅黑" w:hAnsi="微软雅黑" w:eastAsia="微软雅黑" w:cs="微软雅黑"/>
          <w:bCs/>
          <w:color w:val="000000" w:themeColor="text1"/>
          <w:szCs w:val="21"/>
          <w:highlight w:val="none"/>
          <w:lang w:val="en-US" w:eastAsia="zh-CN"/>
          <w14:textFill>
            <w14:solidFill>
              <w14:schemeClr w14:val="tx1"/>
            </w14:solidFill>
          </w14:textFill>
        </w:rPr>
        <w:t>/</w:t>
      </w:r>
      <w:r>
        <w:rPr>
          <w:rFonts w:hint="eastAsia" w:ascii="微软雅黑" w:hAnsi="微软雅黑" w:eastAsia="微软雅黑" w:cs="微软雅黑"/>
          <w:bCs/>
          <w:color w:val="000000" w:themeColor="text1"/>
          <w:szCs w:val="21"/>
          <w:highlight w:val="none"/>
          <w:lang w:val="en-US" w:eastAsia="zh-CN"/>
          <w14:textFill>
            <w14:solidFill>
              <w14:schemeClr w14:val="tx1"/>
            </w14:solidFill>
          </w14:textFill>
        </w:rPr>
        <w:t>尊享e生</w:t>
      </w:r>
      <w:r>
        <w:rPr>
          <w:rFonts w:hint="eastAsia" w:ascii="微软雅黑" w:hAnsi="微软雅黑" w:eastAsia="微软雅黑" w:cs="微软雅黑"/>
          <w:bCs/>
          <w:color w:val="000000" w:themeColor="text1"/>
          <w:szCs w:val="21"/>
          <w:highlight w:val="none"/>
          <w14:textFill>
            <w14:solidFill>
              <w14:schemeClr w14:val="tx1"/>
            </w14:solidFill>
          </w14:textFill>
        </w:rPr>
        <w:t>2025/2024/2023/2022/奋斗版/全能版/无忧版、尊享e生·中高端医疗保险2025/2024/2023/PLUS（2025）版/PLUS版；</w:t>
      </w:r>
    </w:p>
    <w:p w14:paraId="181746DB">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771CF7B5">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家庭单用户优享价格以系统显示为准。</w:t>
      </w:r>
    </w:p>
    <w:p w14:paraId="2228D522">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如用户投保时同时选择了优选体用户规则及家庭单用户规则，则最终销售价格以家庭单优享价格为准。</w:t>
      </w:r>
    </w:p>
    <w:p w14:paraId="480EFC49">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如用户投保时同时选择了优选体用户规则及家庭单用户规则，则最终销售价格以家庭单优享价格为准。</w:t>
      </w:r>
    </w:p>
    <w:p w14:paraId="01F154B7">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重新投保：本合同为一年期不保证续保合同。保险期间届满，投保人需要重新向保险公司申请投保本产品，交纳保险费，并获得新的保险合同。如对重新投保有疑问，可致电众安客服进行咨询。</w:t>
      </w:r>
      <w:r>
        <w:rPr>
          <w:rFonts w:hint="eastAsia" w:ascii="微软雅黑" w:hAnsi="微软雅黑" w:eastAsia="微软雅黑" w:cs="微软雅黑"/>
          <w:b/>
          <w:color w:val="000000" w:themeColor="text1"/>
          <w:szCs w:val="21"/>
          <w:highlight w:val="none"/>
          <w14:textFill>
            <w14:solidFill>
              <w14:schemeClr w14:val="tx1"/>
            </w14:solidFill>
          </w14:textFill>
        </w:rPr>
        <w:t>我们审核通过方可为投保人办理重新投保手续。家庭共享免赔额责任（如购买尊享家庭共享免赔额加油包）、重大疾病扩展特需医疗责任（如购买尊享重大疾病扩展特需医疗加油包）、</w:t>
      </w:r>
      <w:r>
        <w:rPr>
          <w:rFonts w:hint="eastAsia" w:ascii="微软雅黑" w:hAnsi="微软雅黑" w:eastAsia="微软雅黑" w:cs="微软雅黑"/>
          <w:b/>
          <w:bCs/>
          <w:color w:val="000000"/>
          <w:szCs w:val="21"/>
          <w:highlight w:val="none"/>
        </w:rPr>
        <w:t>一般住院津贴责任及ICU重症监护病房住院津贴责任（</w:t>
      </w:r>
      <w:r>
        <w:rPr>
          <w:rFonts w:hint="eastAsia" w:ascii="微软雅黑" w:hAnsi="微软雅黑" w:eastAsia="微软雅黑" w:cs="微软雅黑"/>
          <w:b/>
          <w:color w:val="000000"/>
          <w:szCs w:val="21"/>
          <w:highlight w:val="none"/>
        </w:rPr>
        <w:t>如购买尊享</w:t>
      </w:r>
      <w:r>
        <w:rPr>
          <w:rFonts w:hint="eastAsia" w:ascii="微软雅黑" w:hAnsi="微软雅黑" w:eastAsia="微软雅黑"/>
          <w:b/>
          <w:bCs/>
          <w:szCs w:val="21"/>
          <w:highlight w:val="none"/>
        </w:rPr>
        <w:t>住院津贴加油包</w:t>
      </w:r>
      <w:r>
        <w:rPr>
          <w:rFonts w:hint="eastAsia" w:ascii="微软雅黑" w:hAnsi="微软雅黑" w:eastAsia="微软雅黑" w:cs="微软雅黑"/>
          <w:b/>
          <w:bCs/>
          <w:color w:val="000000"/>
          <w:szCs w:val="21"/>
          <w:highlight w:val="none"/>
        </w:rPr>
        <w:t>）、互联网药品费用医疗责任（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尊享药省保加油包）</w:t>
      </w:r>
      <w:r>
        <w:rPr>
          <w:rFonts w:hint="eastAsia" w:ascii="微软雅黑" w:hAnsi="微软雅黑" w:eastAsia="微软雅黑" w:cs="微软雅黑"/>
          <w:b/>
          <w:color w:val="000000" w:themeColor="text1"/>
          <w:szCs w:val="21"/>
          <w:highlight w:val="none"/>
          <w14:textFill>
            <w14:solidFill>
              <w14:schemeClr w14:val="tx1"/>
            </w14:solidFill>
          </w14:textFill>
        </w:rPr>
        <w:t>、门急诊医疗责任（尊享门急诊医疗加油包），需经保险人审核同意后方可重新投保。重大疾病责任（尊享重大疾病加油包）和住院医疗费用补偿责任（尊享住院医疗费用补偿保加油包）理赔后不得重新投保。若保险期间届满，本保险产品已停止销售，保险公司不再接受投保申请，但会向您提供投保其他保险产品的合理建议。</w:t>
      </w:r>
    </w:p>
    <w:p w14:paraId="224B9BF1">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退保说明：您拨打众安保险客服电话</w:t>
      </w:r>
      <w:r>
        <w:rPr>
          <w:rFonts w:ascii="微软雅黑" w:hAnsi="微软雅黑" w:eastAsia="微软雅黑" w:cs="微软雅黑"/>
          <w:color w:val="000000"/>
          <w:szCs w:val="21"/>
          <w:highlight w:val="none"/>
        </w:rPr>
        <w:t>952299或1010-9955</w:t>
      </w:r>
      <w:r>
        <w:rPr>
          <w:rFonts w:hint="eastAsia" w:ascii="微软雅黑" w:hAnsi="微软雅黑" w:eastAsia="微软雅黑" w:cs="微软雅黑"/>
          <w:bCs/>
          <w:szCs w:val="21"/>
          <w:highlight w:val="none"/>
        </w:rPr>
        <w:t>或通过众安保险APP发起退保/批改的申请，并提供完整申请资料，众安保险审核通过后，最晚于</w:t>
      </w:r>
      <w:r>
        <w:rPr>
          <w:rFonts w:ascii="微软雅黑" w:hAnsi="微软雅黑" w:eastAsia="微软雅黑" w:cs="微软雅黑"/>
          <w:bCs/>
          <w:szCs w:val="21"/>
          <w:highlight w:val="none"/>
        </w:rPr>
        <w:t>3</w:t>
      </w:r>
      <w:r>
        <w:rPr>
          <w:rFonts w:hint="eastAsia" w:ascii="微软雅黑" w:hAnsi="微软雅黑" w:eastAsia="微软雅黑" w:cs="微软雅黑"/>
          <w:bCs/>
          <w:szCs w:val="21"/>
          <w:highlight w:val="none"/>
        </w:rPr>
        <w:t>个工作日内完成受理，退保保费会退还至保费支付账户或您名下指定账户。您通过我们同意或认可的网站等互联网渠道提出对本保险合同的解除申请，视为您的书面申请。</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yuecheng" w:date="2025-11-04T09:49:15Z" w:initials="y">
    <w:p w14:paraId="57416740">
      <w:pPr>
        <w:pStyle w:val="2"/>
        <w:rPr>
          <w:rFonts w:hint="default" w:eastAsiaTheme="minorEastAsia"/>
          <w:lang w:val="en-US" w:eastAsia="zh-CN"/>
        </w:rPr>
      </w:pPr>
      <w:r>
        <w:rPr>
          <w:rFonts w:hint="eastAsia"/>
          <w:lang w:val="en-US" w:eastAsia="zh-CN"/>
        </w:rPr>
        <w:t>参考尊享中高端25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41674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B2076"/>
    <w:multiLevelType w:val="multilevel"/>
    <w:tmpl w:val="158B2076"/>
    <w:lvl w:ilvl="0" w:tentative="0">
      <w:start w:val="1"/>
      <w:numFmt w:val="decimal"/>
      <w:lvlText w:val="%1."/>
      <w:lvlJc w:val="left"/>
      <w:pPr>
        <w:ind w:left="2689"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2E76899"/>
    <w:multiLevelType w:val="multilevel"/>
    <w:tmpl w:val="42E76899"/>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4C13456E"/>
    <w:multiLevelType w:val="multilevel"/>
    <w:tmpl w:val="4C13456E"/>
    <w:lvl w:ilvl="0" w:tentative="0">
      <w:start w:val="1"/>
      <w:numFmt w:val="decimal"/>
      <w:lvlText w:val="%1)"/>
      <w:lvlJc w:val="left"/>
      <w:pPr>
        <w:ind w:left="844" w:hanging="420"/>
      </w:p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3">
    <w:nsid w:val="4C786632"/>
    <w:multiLevelType w:val="multilevel"/>
    <w:tmpl w:val="4C786632"/>
    <w:lvl w:ilvl="0" w:tentative="0">
      <w:start w:val="1"/>
      <w:numFmt w:val="decimal"/>
      <w:lvlText w:val="（%1）"/>
      <w:lvlJc w:val="left"/>
      <w:pPr>
        <w:ind w:left="1264" w:hanging="420"/>
      </w:pPr>
      <w:rPr>
        <w:rFonts w:hint="default"/>
      </w:rPr>
    </w:lvl>
    <w:lvl w:ilvl="1" w:tentative="0">
      <w:start w:val="1"/>
      <w:numFmt w:val="lowerLetter"/>
      <w:lvlText w:val="%2)"/>
      <w:lvlJc w:val="left"/>
      <w:pPr>
        <w:ind w:left="1684" w:hanging="420"/>
      </w:pPr>
    </w:lvl>
    <w:lvl w:ilvl="2" w:tentative="0">
      <w:start w:val="1"/>
      <w:numFmt w:val="decimal"/>
      <w:lvlText w:val="%3)"/>
      <w:lvlJc w:val="left"/>
      <w:pPr>
        <w:ind w:left="2104" w:hanging="420"/>
      </w:pPr>
    </w:lvl>
    <w:lvl w:ilvl="3" w:tentative="0">
      <w:start w:val="1"/>
      <w:numFmt w:val="decimal"/>
      <w:lvlText w:val="%4."/>
      <w:lvlJc w:val="left"/>
      <w:pPr>
        <w:ind w:left="2524" w:hanging="420"/>
      </w:pPr>
    </w:lvl>
    <w:lvl w:ilvl="4" w:tentative="0">
      <w:start w:val="1"/>
      <w:numFmt w:val="lowerLetter"/>
      <w:lvlText w:val="%5)"/>
      <w:lvlJc w:val="left"/>
      <w:pPr>
        <w:ind w:left="2944" w:hanging="420"/>
      </w:pPr>
    </w:lvl>
    <w:lvl w:ilvl="5" w:tentative="0">
      <w:start w:val="1"/>
      <w:numFmt w:val="lowerRoman"/>
      <w:lvlText w:val="%6."/>
      <w:lvlJc w:val="right"/>
      <w:pPr>
        <w:ind w:left="3364" w:hanging="420"/>
      </w:pPr>
    </w:lvl>
    <w:lvl w:ilvl="6" w:tentative="0">
      <w:start w:val="1"/>
      <w:numFmt w:val="decimal"/>
      <w:lvlText w:val="%7."/>
      <w:lvlJc w:val="left"/>
      <w:pPr>
        <w:ind w:left="3784" w:hanging="420"/>
      </w:pPr>
    </w:lvl>
    <w:lvl w:ilvl="7" w:tentative="0">
      <w:start w:val="1"/>
      <w:numFmt w:val="lowerLetter"/>
      <w:lvlText w:val="%8)"/>
      <w:lvlJc w:val="left"/>
      <w:pPr>
        <w:ind w:left="4204" w:hanging="420"/>
      </w:pPr>
    </w:lvl>
    <w:lvl w:ilvl="8" w:tentative="0">
      <w:start w:val="1"/>
      <w:numFmt w:val="lowerRoman"/>
      <w:lvlText w:val="%9."/>
      <w:lvlJc w:val="right"/>
      <w:pPr>
        <w:ind w:left="4624" w:hanging="420"/>
      </w:pPr>
    </w:lvl>
  </w:abstractNum>
  <w:abstractNum w:abstractNumId="4">
    <w:nsid w:val="5F261024"/>
    <w:multiLevelType w:val="multilevel"/>
    <w:tmpl w:val="5F26102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yuecheng">
    <w15:presenceInfo w15:providerId="None" w15:userId="yanyue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19D0"/>
    <w:rsid w:val="00055ACC"/>
    <w:rsid w:val="000724DC"/>
    <w:rsid w:val="000813CE"/>
    <w:rsid w:val="00082D4E"/>
    <w:rsid w:val="000916BB"/>
    <w:rsid w:val="000A3AE4"/>
    <w:rsid w:val="000A4D67"/>
    <w:rsid w:val="000B2790"/>
    <w:rsid w:val="000B3189"/>
    <w:rsid w:val="000B6492"/>
    <w:rsid w:val="000C037B"/>
    <w:rsid w:val="000C58DC"/>
    <w:rsid w:val="000D7A07"/>
    <w:rsid w:val="0010292C"/>
    <w:rsid w:val="00102BFD"/>
    <w:rsid w:val="0011645A"/>
    <w:rsid w:val="00172A27"/>
    <w:rsid w:val="00184E37"/>
    <w:rsid w:val="00186E3A"/>
    <w:rsid w:val="001A376A"/>
    <w:rsid w:val="001A63B8"/>
    <w:rsid w:val="00207D74"/>
    <w:rsid w:val="002201B0"/>
    <w:rsid w:val="00220692"/>
    <w:rsid w:val="0025312C"/>
    <w:rsid w:val="00253F40"/>
    <w:rsid w:val="00263CA1"/>
    <w:rsid w:val="00275BE7"/>
    <w:rsid w:val="002828A9"/>
    <w:rsid w:val="002C3C8E"/>
    <w:rsid w:val="002E2AB2"/>
    <w:rsid w:val="002F28C1"/>
    <w:rsid w:val="0033187E"/>
    <w:rsid w:val="00342AF6"/>
    <w:rsid w:val="00347CF2"/>
    <w:rsid w:val="003528B0"/>
    <w:rsid w:val="003614F6"/>
    <w:rsid w:val="00363866"/>
    <w:rsid w:val="00364918"/>
    <w:rsid w:val="00383F53"/>
    <w:rsid w:val="003862DF"/>
    <w:rsid w:val="003A31D6"/>
    <w:rsid w:val="003A75E8"/>
    <w:rsid w:val="003B4EC4"/>
    <w:rsid w:val="003C1636"/>
    <w:rsid w:val="003C19B0"/>
    <w:rsid w:val="003D1074"/>
    <w:rsid w:val="003D6BC1"/>
    <w:rsid w:val="003D7B75"/>
    <w:rsid w:val="003E6C41"/>
    <w:rsid w:val="003F4DE5"/>
    <w:rsid w:val="004045D2"/>
    <w:rsid w:val="00405CC8"/>
    <w:rsid w:val="00414752"/>
    <w:rsid w:val="004260ED"/>
    <w:rsid w:val="0042726C"/>
    <w:rsid w:val="0043560D"/>
    <w:rsid w:val="0045215F"/>
    <w:rsid w:val="004537C4"/>
    <w:rsid w:val="00456DAD"/>
    <w:rsid w:val="00465B8A"/>
    <w:rsid w:val="00472B5C"/>
    <w:rsid w:val="004A6977"/>
    <w:rsid w:val="004C2AE7"/>
    <w:rsid w:val="004D09E9"/>
    <w:rsid w:val="004F1840"/>
    <w:rsid w:val="004F27FE"/>
    <w:rsid w:val="004F5594"/>
    <w:rsid w:val="004F5983"/>
    <w:rsid w:val="005012B7"/>
    <w:rsid w:val="00515C8A"/>
    <w:rsid w:val="0052779C"/>
    <w:rsid w:val="00535731"/>
    <w:rsid w:val="00536B30"/>
    <w:rsid w:val="0054143F"/>
    <w:rsid w:val="00554810"/>
    <w:rsid w:val="00555218"/>
    <w:rsid w:val="005572BA"/>
    <w:rsid w:val="005A76F3"/>
    <w:rsid w:val="005A7B7A"/>
    <w:rsid w:val="005F33BE"/>
    <w:rsid w:val="00613564"/>
    <w:rsid w:val="00620EED"/>
    <w:rsid w:val="00623258"/>
    <w:rsid w:val="00624C0B"/>
    <w:rsid w:val="006337B8"/>
    <w:rsid w:val="00636C23"/>
    <w:rsid w:val="00654FA8"/>
    <w:rsid w:val="00656850"/>
    <w:rsid w:val="00662D1F"/>
    <w:rsid w:val="00667EA2"/>
    <w:rsid w:val="006A09BD"/>
    <w:rsid w:val="006B16B7"/>
    <w:rsid w:val="006B50A7"/>
    <w:rsid w:val="006C1B9C"/>
    <w:rsid w:val="006C6142"/>
    <w:rsid w:val="006F15D5"/>
    <w:rsid w:val="006F177D"/>
    <w:rsid w:val="0070086F"/>
    <w:rsid w:val="007130E5"/>
    <w:rsid w:val="00715383"/>
    <w:rsid w:val="0073063A"/>
    <w:rsid w:val="0073213F"/>
    <w:rsid w:val="00733122"/>
    <w:rsid w:val="007526FD"/>
    <w:rsid w:val="00776D89"/>
    <w:rsid w:val="00791C04"/>
    <w:rsid w:val="007A4A33"/>
    <w:rsid w:val="007C7CFC"/>
    <w:rsid w:val="007F06B4"/>
    <w:rsid w:val="007F39AD"/>
    <w:rsid w:val="008108CD"/>
    <w:rsid w:val="00820749"/>
    <w:rsid w:val="00823872"/>
    <w:rsid w:val="00832727"/>
    <w:rsid w:val="0084184B"/>
    <w:rsid w:val="008436A9"/>
    <w:rsid w:val="0085024F"/>
    <w:rsid w:val="00862B0F"/>
    <w:rsid w:val="00867637"/>
    <w:rsid w:val="00871141"/>
    <w:rsid w:val="00882453"/>
    <w:rsid w:val="008A199D"/>
    <w:rsid w:val="008A23E5"/>
    <w:rsid w:val="008B4453"/>
    <w:rsid w:val="008B6E84"/>
    <w:rsid w:val="008D21AA"/>
    <w:rsid w:val="008E3EFC"/>
    <w:rsid w:val="008E6F60"/>
    <w:rsid w:val="008E7104"/>
    <w:rsid w:val="00901C3E"/>
    <w:rsid w:val="00901D96"/>
    <w:rsid w:val="009040A5"/>
    <w:rsid w:val="00910A87"/>
    <w:rsid w:val="00930003"/>
    <w:rsid w:val="009372BB"/>
    <w:rsid w:val="00947E58"/>
    <w:rsid w:val="00953A59"/>
    <w:rsid w:val="009547A4"/>
    <w:rsid w:val="00956372"/>
    <w:rsid w:val="009731AA"/>
    <w:rsid w:val="00987266"/>
    <w:rsid w:val="009901DE"/>
    <w:rsid w:val="009925E2"/>
    <w:rsid w:val="00996D55"/>
    <w:rsid w:val="009A3A7C"/>
    <w:rsid w:val="009B2296"/>
    <w:rsid w:val="009C7D15"/>
    <w:rsid w:val="009F07D7"/>
    <w:rsid w:val="009F2207"/>
    <w:rsid w:val="009F5473"/>
    <w:rsid w:val="00A11DB1"/>
    <w:rsid w:val="00A274C1"/>
    <w:rsid w:val="00A30CCF"/>
    <w:rsid w:val="00A415AE"/>
    <w:rsid w:val="00A454C3"/>
    <w:rsid w:val="00A501A2"/>
    <w:rsid w:val="00A521DD"/>
    <w:rsid w:val="00A6499A"/>
    <w:rsid w:val="00A676CC"/>
    <w:rsid w:val="00A74AAC"/>
    <w:rsid w:val="00AC5636"/>
    <w:rsid w:val="00AC6061"/>
    <w:rsid w:val="00AE17C0"/>
    <w:rsid w:val="00B053FD"/>
    <w:rsid w:val="00B16B1E"/>
    <w:rsid w:val="00B16C0F"/>
    <w:rsid w:val="00B23618"/>
    <w:rsid w:val="00B25F6A"/>
    <w:rsid w:val="00B311CD"/>
    <w:rsid w:val="00B372E7"/>
    <w:rsid w:val="00B476EB"/>
    <w:rsid w:val="00B751E9"/>
    <w:rsid w:val="00B76810"/>
    <w:rsid w:val="00B93A04"/>
    <w:rsid w:val="00BA13C2"/>
    <w:rsid w:val="00BB3BB5"/>
    <w:rsid w:val="00BD4454"/>
    <w:rsid w:val="00BE1330"/>
    <w:rsid w:val="00BF64BB"/>
    <w:rsid w:val="00C2428A"/>
    <w:rsid w:val="00C262F6"/>
    <w:rsid w:val="00C85B02"/>
    <w:rsid w:val="00C9123B"/>
    <w:rsid w:val="00C97486"/>
    <w:rsid w:val="00CB1ED8"/>
    <w:rsid w:val="00CB3A2B"/>
    <w:rsid w:val="00CD342D"/>
    <w:rsid w:val="00CE1301"/>
    <w:rsid w:val="00CF36A3"/>
    <w:rsid w:val="00D044F0"/>
    <w:rsid w:val="00D1533C"/>
    <w:rsid w:val="00D23385"/>
    <w:rsid w:val="00D25D3F"/>
    <w:rsid w:val="00D27940"/>
    <w:rsid w:val="00D35F19"/>
    <w:rsid w:val="00D414D7"/>
    <w:rsid w:val="00D5340D"/>
    <w:rsid w:val="00D53D06"/>
    <w:rsid w:val="00D72BAF"/>
    <w:rsid w:val="00D821E5"/>
    <w:rsid w:val="00D90044"/>
    <w:rsid w:val="00DA4DDD"/>
    <w:rsid w:val="00DA7949"/>
    <w:rsid w:val="00DB097B"/>
    <w:rsid w:val="00DC2066"/>
    <w:rsid w:val="00E12BBE"/>
    <w:rsid w:val="00E13A86"/>
    <w:rsid w:val="00E1762D"/>
    <w:rsid w:val="00E24C68"/>
    <w:rsid w:val="00E27D68"/>
    <w:rsid w:val="00E32CDC"/>
    <w:rsid w:val="00E346DC"/>
    <w:rsid w:val="00E36F11"/>
    <w:rsid w:val="00E41D73"/>
    <w:rsid w:val="00E52E8E"/>
    <w:rsid w:val="00E82897"/>
    <w:rsid w:val="00E92DC6"/>
    <w:rsid w:val="00E97D6D"/>
    <w:rsid w:val="00EA49F9"/>
    <w:rsid w:val="00EB12FF"/>
    <w:rsid w:val="00EB55AA"/>
    <w:rsid w:val="00EC3F62"/>
    <w:rsid w:val="00EC7EC8"/>
    <w:rsid w:val="00EE1285"/>
    <w:rsid w:val="00EE51B1"/>
    <w:rsid w:val="00F01B19"/>
    <w:rsid w:val="00F3401C"/>
    <w:rsid w:val="00F6442F"/>
    <w:rsid w:val="00F677B8"/>
    <w:rsid w:val="00F82DFA"/>
    <w:rsid w:val="00F92B42"/>
    <w:rsid w:val="00FB0F07"/>
    <w:rsid w:val="00FD3988"/>
    <w:rsid w:val="00FE5F34"/>
    <w:rsid w:val="03813D92"/>
    <w:rsid w:val="05D327AD"/>
    <w:rsid w:val="05F17AC0"/>
    <w:rsid w:val="06CD1AAE"/>
    <w:rsid w:val="07BC475A"/>
    <w:rsid w:val="0BC64645"/>
    <w:rsid w:val="0D7F7E3C"/>
    <w:rsid w:val="0E073B09"/>
    <w:rsid w:val="0F262C17"/>
    <w:rsid w:val="13240F16"/>
    <w:rsid w:val="135A178B"/>
    <w:rsid w:val="14371683"/>
    <w:rsid w:val="147F6C65"/>
    <w:rsid w:val="19307386"/>
    <w:rsid w:val="19587222"/>
    <w:rsid w:val="1B3C2AFD"/>
    <w:rsid w:val="1C0859B0"/>
    <w:rsid w:val="1D5A1174"/>
    <w:rsid w:val="1FE1692F"/>
    <w:rsid w:val="205B6DAE"/>
    <w:rsid w:val="213C545F"/>
    <w:rsid w:val="22DB7EF3"/>
    <w:rsid w:val="24CE5A80"/>
    <w:rsid w:val="25411BDC"/>
    <w:rsid w:val="278D6BFB"/>
    <w:rsid w:val="29424C7C"/>
    <w:rsid w:val="2AE80CD5"/>
    <w:rsid w:val="2BC939D9"/>
    <w:rsid w:val="2D307E3F"/>
    <w:rsid w:val="2DC0059F"/>
    <w:rsid w:val="2DD9653A"/>
    <w:rsid w:val="2F403E1D"/>
    <w:rsid w:val="2FC01DD8"/>
    <w:rsid w:val="314E04D2"/>
    <w:rsid w:val="31D667CA"/>
    <w:rsid w:val="34B060B0"/>
    <w:rsid w:val="34CD39A5"/>
    <w:rsid w:val="350814D5"/>
    <w:rsid w:val="379702D1"/>
    <w:rsid w:val="37A71455"/>
    <w:rsid w:val="384A148E"/>
    <w:rsid w:val="3BF978C0"/>
    <w:rsid w:val="43AD08DD"/>
    <w:rsid w:val="4651797D"/>
    <w:rsid w:val="467D0436"/>
    <w:rsid w:val="475E006E"/>
    <w:rsid w:val="478A0669"/>
    <w:rsid w:val="47D26A7C"/>
    <w:rsid w:val="4A03631B"/>
    <w:rsid w:val="4C926F50"/>
    <w:rsid w:val="4FB33C01"/>
    <w:rsid w:val="50DB2392"/>
    <w:rsid w:val="51F40572"/>
    <w:rsid w:val="53D81EDE"/>
    <w:rsid w:val="54C368C7"/>
    <w:rsid w:val="55A65499"/>
    <w:rsid w:val="58DF2ED8"/>
    <w:rsid w:val="5D020983"/>
    <w:rsid w:val="5DB75DE3"/>
    <w:rsid w:val="5E333522"/>
    <w:rsid w:val="5F2F0FD6"/>
    <w:rsid w:val="5F5D312C"/>
    <w:rsid w:val="60E614F7"/>
    <w:rsid w:val="63D873EF"/>
    <w:rsid w:val="65CD48B0"/>
    <w:rsid w:val="65DB7AF2"/>
    <w:rsid w:val="6701348C"/>
    <w:rsid w:val="6B9E04B2"/>
    <w:rsid w:val="6C801062"/>
    <w:rsid w:val="6E3557FB"/>
    <w:rsid w:val="6F00031A"/>
    <w:rsid w:val="6F9D32A2"/>
    <w:rsid w:val="70460346"/>
    <w:rsid w:val="70DF53C2"/>
    <w:rsid w:val="71A01601"/>
    <w:rsid w:val="71A27B70"/>
    <w:rsid w:val="71BC467B"/>
    <w:rsid w:val="728F1744"/>
    <w:rsid w:val="74C97210"/>
    <w:rsid w:val="76531B64"/>
    <w:rsid w:val="78112FBE"/>
    <w:rsid w:val="7F52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alloon Text"/>
    <w:basedOn w:val="1"/>
    <w:link w:val="18"/>
    <w:qFormat/>
    <w:uiPriority w:val="0"/>
    <w:rPr>
      <w:sz w:val="18"/>
      <w:szCs w:val="18"/>
    </w:rPr>
  </w:style>
  <w:style w:type="paragraph" w:styleId="4">
    <w:name w:val="footer"/>
    <w:basedOn w:val="1"/>
    <w:link w:val="20"/>
    <w:qFormat/>
    <w:uiPriority w:val="0"/>
    <w:pPr>
      <w:tabs>
        <w:tab w:val="center" w:pos="4153"/>
        <w:tab w:val="right" w:pos="8306"/>
      </w:tabs>
      <w:snapToGrid w:val="0"/>
      <w:jc w:val="left"/>
    </w:pPr>
    <w:rPr>
      <w:sz w:val="18"/>
      <w:szCs w:val="18"/>
    </w:rPr>
  </w:style>
  <w:style w:type="paragraph" w:styleId="5">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qFormat/>
    <w:uiPriority w:val="0"/>
    <w:rPr>
      <w:b/>
      <w:bCs/>
    </w:rPr>
  </w:style>
  <w:style w:type="character" w:styleId="9">
    <w:name w:val="annotation reference"/>
    <w:basedOn w:val="8"/>
    <w:qFormat/>
    <w:uiPriority w:val="99"/>
    <w:rPr>
      <w:sz w:val="21"/>
      <w:szCs w:val="21"/>
    </w:rPr>
  </w:style>
  <w:style w:type="paragraph" w:customStyle="1" w:styleId="10">
    <w:name w:val="列表段落1"/>
    <w:basedOn w:val="1"/>
    <w:qFormat/>
    <w:uiPriority w:val="99"/>
    <w:pPr>
      <w:ind w:firstLine="420" w:firstLineChars="200"/>
    </w:pPr>
  </w:style>
  <w:style w:type="paragraph" w:customStyle="1" w:styleId="11">
    <w:name w:val="列出段落4"/>
    <w:basedOn w:val="1"/>
    <w:qFormat/>
    <w:uiPriority w:val="99"/>
    <w:pPr>
      <w:ind w:firstLine="420" w:firstLineChars="200"/>
    </w:pPr>
    <w:rPr>
      <w:rFonts w:ascii="等线" w:hAnsi="等线" w:eastAsia="等线" w:cs="黑体"/>
      <w:szCs w:val="22"/>
    </w:rPr>
  </w:style>
  <w:style w:type="paragraph" w:customStyle="1" w:styleId="12">
    <w:name w:val="列出段落5"/>
    <w:basedOn w:val="1"/>
    <w:qFormat/>
    <w:uiPriority w:val="99"/>
    <w:pPr>
      <w:ind w:firstLine="420" w:firstLineChars="200"/>
    </w:pPr>
    <w:rPr>
      <w:rFonts w:ascii="等线" w:hAnsi="等线" w:eastAsia="等线" w:cs="黑体"/>
      <w:szCs w:val="22"/>
    </w:rPr>
  </w:style>
  <w:style w:type="paragraph" w:customStyle="1" w:styleId="13">
    <w:name w:val="列出段落51"/>
    <w:basedOn w:val="1"/>
    <w:qFormat/>
    <w:uiPriority w:val="99"/>
    <w:pPr>
      <w:ind w:firstLine="420" w:firstLineChars="200"/>
    </w:pPr>
    <w:rPr>
      <w:rFonts w:ascii="等线" w:hAnsi="等线" w:eastAsia="等线" w:cs="黑体"/>
      <w:szCs w:val="22"/>
    </w:rPr>
  </w:style>
  <w:style w:type="paragraph" w:customStyle="1" w:styleId="14">
    <w:name w:val="列出段落7"/>
    <w:basedOn w:val="1"/>
    <w:qFormat/>
    <w:uiPriority w:val="99"/>
    <w:pPr>
      <w:ind w:firstLine="420" w:firstLineChars="200"/>
    </w:pPr>
    <w:rPr>
      <w:rFonts w:ascii="等线" w:hAnsi="等线" w:eastAsia="等线" w:cs="黑体"/>
      <w:szCs w:val="22"/>
    </w:rPr>
  </w:style>
  <w:style w:type="paragraph" w:customStyle="1" w:styleId="15">
    <w:name w:val="列出段落1"/>
    <w:basedOn w:val="1"/>
    <w:qFormat/>
    <w:uiPriority w:val="34"/>
    <w:pPr>
      <w:ind w:firstLine="420" w:firstLineChars="200"/>
    </w:pPr>
    <w:rPr>
      <w:rFonts w:ascii="Calibri" w:hAnsi="Calibri" w:eastAsia="宋体" w:cs="黑体"/>
    </w:rPr>
  </w:style>
  <w:style w:type="character" w:customStyle="1" w:styleId="16">
    <w:name w:val="批注文字 字符"/>
    <w:basedOn w:val="8"/>
    <w:link w:val="2"/>
    <w:qFormat/>
    <w:uiPriority w:val="99"/>
    <w:rPr>
      <w:kern w:val="2"/>
      <w:sz w:val="21"/>
      <w:szCs w:val="24"/>
    </w:rPr>
  </w:style>
  <w:style w:type="character" w:customStyle="1" w:styleId="17">
    <w:name w:val="批注主题 字符"/>
    <w:basedOn w:val="16"/>
    <w:link w:val="6"/>
    <w:qFormat/>
    <w:uiPriority w:val="0"/>
    <w:rPr>
      <w:b/>
      <w:bCs/>
      <w:kern w:val="2"/>
      <w:sz w:val="21"/>
      <w:szCs w:val="24"/>
    </w:rPr>
  </w:style>
  <w:style w:type="character" w:customStyle="1" w:styleId="18">
    <w:name w:val="批注框文本 字符"/>
    <w:basedOn w:val="8"/>
    <w:link w:val="3"/>
    <w:qFormat/>
    <w:uiPriority w:val="0"/>
    <w:rPr>
      <w:kern w:val="2"/>
      <w:sz w:val="18"/>
      <w:szCs w:val="18"/>
    </w:rPr>
  </w:style>
  <w:style w:type="character" w:customStyle="1" w:styleId="19">
    <w:name w:val="页眉 字符"/>
    <w:basedOn w:val="8"/>
    <w:link w:val="5"/>
    <w:qFormat/>
    <w:uiPriority w:val="0"/>
    <w:rPr>
      <w:kern w:val="2"/>
      <w:sz w:val="18"/>
      <w:szCs w:val="18"/>
    </w:rPr>
  </w:style>
  <w:style w:type="character" w:customStyle="1" w:styleId="20">
    <w:name w:val="页脚 字符"/>
    <w:basedOn w:val="8"/>
    <w:link w:val="4"/>
    <w:qFormat/>
    <w:uiPriority w:val="0"/>
    <w:rPr>
      <w:kern w:val="2"/>
      <w:sz w:val="18"/>
      <w:szCs w:val="18"/>
    </w:rPr>
  </w:style>
  <w:style w:type="paragraph" w:customStyle="1" w:styleId="21">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styleId="23">
    <w:name w:val="List Paragraph"/>
    <w:basedOn w:val="1"/>
    <w:qFormat/>
    <w:uiPriority w:val="99"/>
    <w:pPr>
      <w:ind w:firstLine="420" w:firstLineChars="200"/>
    </w:pPr>
  </w:style>
  <w:style w:type="paragraph" w:customStyle="1" w:styleId="24">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5">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502</Words>
  <Characters>2865</Characters>
  <Lines>23</Lines>
  <Paragraphs>6</Paragraphs>
  <TotalTime>0</TotalTime>
  <ScaleCrop>false</ScaleCrop>
  <LinksUpToDate>false</LinksUpToDate>
  <CharactersWithSpaces>3361</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limeng001</dc:creator>
  <cp:lastModifiedBy>yanyuecheng</cp:lastModifiedBy>
  <dcterms:modified xsi:type="dcterms:W3CDTF">2025-12-05T13:46:10Z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34B71F9CFCFA4CD5B14D082FA80BC49F_12</vt:lpwstr>
  </property>
</Properties>
</file>